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519557F">
      <w:pPr>
        <w:jc w:val="left"/>
        <w:rPr>
          <w:rFonts w:ascii="仿宋" w:hAnsi="仿宋" w:eastAsia="仿宋"/>
          <w:sz w:val="30"/>
          <w:szCs w:val="30"/>
        </w:rPr>
      </w:pPr>
      <w:bookmarkStart w:id="2" w:name="_GoBack"/>
      <w:bookmarkStart w:id="0" w:name="_Hlk201151632"/>
      <w:bookmarkStart w:id="1" w:name="_Hlk201926629"/>
      <w:r>
        <w:rPr>
          <w:rFonts w:hint="eastAsia" w:ascii="仿宋" w:hAnsi="仿宋" w:eastAsia="仿宋"/>
          <w:sz w:val="30"/>
          <w:szCs w:val="30"/>
        </w:rPr>
        <w:t>附件</w:t>
      </w:r>
      <w:r>
        <w:rPr>
          <w:rFonts w:ascii="仿宋" w:hAnsi="仿宋" w:eastAsia="仿宋"/>
          <w:sz w:val="30"/>
          <w:szCs w:val="30"/>
        </w:rPr>
        <w:t>6</w:t>
      </w:r>
      <w:r>
        <w:rPr>
          <w:rFonts w:hint="eastAsia" w:ascii="仿宋" w:hAnsi="仿宋" w:eastAsia="仿宋"/>
          <w:sz w:val="30"/>
          <w:szCs w:val="30"/>
        </w:rPr>
        <w:t>：综合评分标准</w:t>
      </w:r>
    </w:p>
    <w:bookmarkEnd w:id="2"/>
    <w:p w14:paraId="35F89F84">
      <w:pPr>
        <w:spacing w:line="480" w:lineRule="auto"/>
        <w:jc w:val="center"/>
        <w:rPr>
          <w:rFonts w:ascii="宋体" w:hAnsi="宋体" w:cs="宋体"/>
          <w:b/>
          <w:sz w:val="30"/>
          <w:szCs w:val="30"/>
        </w:rPr>
      </w:pPr>
      <w:r>
        <w:rPr>
          <w:rFonts w:hint="eastAsia" w:ascii="宋体" w:hAnsi="宋体" w:cs="宋体"/>
          <w:b/>
          <w:sz w:val="28"/>
          <w:szCs w:val="28"/>
        </w:rPr>
        <w:t>综合评分标准</w:t>
      </w:r>
    </w:p>
    <w:tbl>
      <w:tblPr>
        <w:tblStyle w:val="6"/>
        <w:tblpPr w:leftFromText="180" w:rightFromText="180" w:vertAnchor="text" w:horzAnchor="margin" w:tblpXSpec="center" w:tblpY="128"/>
        <w:tblW w:w="892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6"/>
        <w:gridCol w:w="1360"/>
        <w:gridCol w:w="800"/>
        <w:gridCol w:w="6030"/>
      </w:tblGrid>
      <w:tr w14:paraId="01AA93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cantSplit/>
          <w:trHeight w:val="563" w:hRule="atLeast"/>
        </w:trPr>
        <w:tc>
          <w:tcPr>
            <w:tcW w:w="736" w:type="dxa"/>
            <w:vAlign w:val="center"/>
          </w:tcPr>
          <w:p w14:paraId="67B09F4E">
            <w:pPr>
              <w:spacing w:line="460" w:lineRule="exact"/>
              <w:jc w:val="center"/>
              <w:rPr>
                <w:rFonts w:ascii="宋体" w:hAnsi="宋体" w:eastAsia="宋体" w:cs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4"/>
              </w:rPr>
              <w:t>序号</w:t>
            </w:r>
          </w:p>
        </w:tc>
        <w:tc>
          <w:tcPr>
            <w:tcW w:w="1360" w:type="dxa"/>
            <w:vAlign w:val="center"/>
          </w:tcPr>
          <w:p w14:paraId="5CE497BF">
            <w:pPr>
              <w:spacing w:line="460" w:lineRule="exact"/>
              <w:jc w:val="center"/>
              <w:rPr>
                <w:rFonts w:ascii="宋体" w:hAnsi="宋体" w:eastAsia="宋体" w:cs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4"/>
              </w:rPr>
              <w:t>评分项目</w:t>
            </w:r>
          </w:p>
        </w:tc>
        <w:tc>
          <w:tcPr>
            <w:tcW w:w="800" w:type="dxa"/>
            <w:vAlign w:val="center"/>
          </w:tcPr>
          <w:p w14:paraId="4E0AB955">
            <w:pPr>
              <w:spacing w:line="460" w:lineRule="exact"/>
              <w:jc w:val="center"/>
              <w:rPr>
                <w:rFonts w:ascii="宋体" w:hAnsi="宋体" w:eastAsia="宋体" w:cs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4"/>
              </w:rPr>
              <w:t>分数</w:t>
            </w:r>
          </w:p>
        </w:tc>
        <w:tc>
          <w:tcPr>
            <w:tcW w:w="6030" w:type="dxa"/>
            <w:vAlign w:val="center"/>
          </w:tcPr>
          <w:p w14:paraId="7E17A9E0">
            <w:pPr>
              <w:spacing w:line="460" w:lineRule="exact"/>
              <w:jc w:val="center"/>
              <w:rPr>
                <w:rFonts w:ascii="宋体" w:hAnsi="宋体" w:eastAsia="宋体" w:cs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4"/>
              </w:rPr>
              <w:t>评分标准</w:t>
            </w:r>
          </w:p>
        </w:tc>
      </w:tr>
      <w:tr w14:paraId="3A88D2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214" w:hRule="atLeast"/>
        </w:trPr>
        <w:tc>
          <w:tcPr>
            <w:tcW w:w="736" w:type="dxa"/>
            <w:vAlign w:val="center"/>
          </w:tcPr>
          <w:p w14:paraId="0E240575">
            <w:pPr>
              <w:spacing w:line="460" w:lineRule="exact"/>
              <w:jc w:val="center"/>
              <w:rPr>
                <w:rFonts w:ascii="宋体" w:hAnsi="宋体" w:eastAsia="宋体" w:cs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4"/>
              </w:rPr>
              <w:t>1</w:t>
            </w:r>
          </w:p>
        </w:tc>
        <w:tc>
          <w:tcPr>
            <w:tcW w:w="1360" w:type="dxa"/>
            <w:vAlign w:val="center"/>
          </w:tcPr>
          <w:p w14:paraId="7269622E">
            <w:pPr>
              <w:spacing w:line="460" w:lineRule="exact"/>
              <w:jc w:val="center"/>
              <w:rPr>
                <w:rFonts w:ascii="宋体" w:hAnsi="宋体" w:eastAsia="宋体" w:cs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4"/>
              </w:rPr>
              <w:t>报价</w:t>
            </w:r>
          </w:p>
        </w:tc>
        <w:tc>
          <w:tcPr>
            <w:tcW w:w="800" w:type="dxa"/>
            <w:vAlign w:val="center"/>
          </w:tcPr>
          <w:p w14:paraId="4C5460B1">
            <w:pPr>
              <w:spacing w:line="460" w:lineRule="exact"/>
              <w:jc w:val="center"/>
              <w:rPr>
                <w:rFonts w:ascii="宋体" w:hAnsi="宋体" w:eastAsia="宋体" w:cs="宋体"/>
                <w:b/>
                <w:sz w:val="24"/>
                <w:szCs w:val="24"/>
              </w:rPr>
            </w:pPr>
            <w:r>
              <w:rPr>
                <w:rFonts w:ascii="宋体" w:hAnsi="宋体" w:eastAsia="宋体" w:cs="宋体"/>
                <w:b/>
                <w:sz w:val="24"/>
                <w:szCs w:val="24"/>
              </w:rPr>
              <w:t>20</w:t>
            </w:r>
            <w:r>
              <w:rPr>
                <w:rFonts w:hint="eastAsia" w:ascii="宋体" w:hAnsi="宋体" w:eastAsia="宋体" w:cs="宋体"/>
                <w:b/>
                <w:sz w:val="24"/>
                <w:szCs w:val="24"/>
              </w:rPr>
              <w:t>分</w:t>
            </w:r>
          </w:p>
        </w:tc>
        <w:tc>
          <w:tcPr>
            <w:tcW w:w="6030" w:type="dxa"/>
            <w:vAlign w:val="center"/>
          </w:tcPr>
          <w:p w14:paraId="4E16A74F">
            <w:pPr>
              <w:spacing w:line="460" w:lineRule="exact"/>
              <w:jc w:val="left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8英寸+</w:t>
            </w:r>
            <w:r>
              <w:rPr>
                <w:rFonts w:ascii="宋体" w:hAnsi="宋体" w:eastAsia="宋体" w:cs="宋体"/>
                <w:sz w:val="24"/>
                <w:szCs w:val="24"/>
              </w:rPr>
              <w:t>6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英寸双层动物奶油生日蛋糕，包括生日帽、生日蜡烛、盘子、刀叉。以2</w:t>
            </w:r>
            <w:r>
              <w:rPr>
                <w:rFonts w:ascii="宋体" w:hAnsi="宋体" w:eastAsia="宋体" w:cs="宋体"/>
                <w:sz w:val="24"/>
                <w:szCs w:val="24"/>
              </w:rPr>
              <w:t>00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元为评审基准价。报价为评审基准价得</w:t>
            </w:r>
            <w:r>
              <w:rPr>
                <w:rFonts w:ascii="宋体" w:hAnsi="宋体" w:eastAsia="宋体" w:cs="宋体"/>
                <w:sz w:val="24"/>
                <w:szCs w:val="24"/>
              </w:rPr>
              <w:t>15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分，根据增值项目的内容酌情加分，最高+</w:t>
            </w:r>
            <w:r>
              <w:rPr>
                <w:rFonts w:ascii="宋体" w:hAnsi="宋体" w:eastAsia="宋体" w:cs="宋体"/>
                <w:sz w:val="24"/>
                <w:szCs w:val="24"/>
              </w:rPr>
              <w:t>5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分。</w:t>
            </w:r>
          </w:p>
        </w:tc>
      </w:tr>
      <w:tr w14:paraId="3309B7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624" w:hRule="atLeast"/>
        </w:trPr>
        <w:tc>
          <w:tcPr>
            <w:tcW w:w="736" w:type="dxa"/>
            <w:vAlign w:val="center"/>
          </w:tcPr>
          <w:p w14:paraId="19B4AF10">
            <w:pPr>
              <w:spacing w:line="460" w:lineRule="exact"/>
              <w:jc w:val="center"/>
              <w:rPr>
                <w:rFonts w:ascii="宋体" w:hAnsi="宋体" w:eastAsia="宋体" w:cs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4"/>
              </w:rPr>
              <w:t>2</w:t>
            </w:r>
          </w:p>
        </w:tc>
        <w:tc>
          <w:tcPr>
            <w:tcW w:w="1360" w:type="dxa"/>
            <w:vAlign w:val="center"/>
          </w:tcPr>
          <w:p w14:paraId="3EB63854">
            <w:pPr>
              <w:spacing w:line="460" w:lineRule="exact"/>
              <w:jc w:val="center"/>
              <w:rPr>
                <w:rFonts w:ascii="宋体" w:hAnsi="宋体" w:eastAsia="宋体" w:cs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4"/>
              </w:rPr>
              <w:t>业绩</w:t>
            </w:r>
          </w:p>
        </w:tc>
        <w:tc>
          <w:tcPr>
            <w:tcW w:w="800" w:type="dxa"/>
            <w:vAlign w:val="center"/>
          </w:tcPr>
          <w:p w14:paraId="6A320C0C">
            <w:pPr>
              <w:spacing w:line="460" w:lineRule="exact"/>
              <w:jc w:val="center"/>
              <w:rPr>
                <w:rFonts w:ascii="宋体" w:hAnsi="宋体" w:eastAsia="宋体" w:cs="宋体"/>
                <w:b/>
                <w:sz w:val="24"/>
                <w:szCs w:val="24"/>
              </w:rPr>
            </w:pPr>
            <w:r>
              <w:rPr>
                <w:rFonts w:ascii="宋体" w:hAnsi="宋体" w:eastAsia="宋体" w:cs="宋体"/>
                <w:b/>
                <w:sz w:val="24"/>
                <w:szCs w:val="24"/>
              </w:rPr>
              <w:t>20</w:t>
            </w:r>
            <w:r>
              <w:rPr>
                <w:rFonts w:hint="eastAsia" w:ascii="宋体" w:hAnsi="宋体" w:eastAsia="宋体" w:cs="宋体"/>
                <w:b/>
                <w:sz w:val="24"/>
                <w:szCs w:val="24"/>
              </w:rPr>
              <w:t>分</w:t>
            </w:r>
          </w:p>
        </w:tc>
        <w:tc>
          <w:tcPr>
            <w:tcW w:w="6030" w:type="dxa"/>
            <w:vAlign w:val="center"/>
          </w:tcPr>
          <w:p w14:paraId="341B597A">
            <w:pPr>
              <w:spacing w:line="460" w:lineRule="exact"/>
              <w:jc w:val="left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近</w:t>
            </w:r>
            <w:r>
              <w:rPr>
                <w:rFonts w:ascii="宋体" w:hAnsi="宋体" w:eastAsia="宋体" w:cs="宋体"/>
                <w:sz w:val="24"/>
                <w:szCs w:val="24"/>
              </w:rPr>
              <w:t>2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年内与知名企事业单位签订的5份10万元（含）上的合同，合同金额在10-</w:t>
            </w:r>
            <w:r>
              <w:rPr>
                <w:rFonts w:ascii="宋体" w:hAnsi="宋体" w:eastAsia="宋体" w:cs="宋体"/>
                <w:sz w:val="24"/>
                <w:szCs w:val="24"/>
              </w:rPr>
              <w:t>1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5万元（含），每个</w:t>
            </w:r>
            <w:r>
              <w:rPr>
                <w:rFonts w:ascii="宋体" w:hAnsi="宋体" w:eastAsia="宋体" w:cs="宋体"/>
                <w:sz w:val="24"/>
                <w:szCs w:val="24"/>
              </w:rPr>
              <w:t>1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分；</w:t>
            </w:r>
            <w:r>
              <w:rPr>
                <w:rFonts w:ascii="宋体" w:hAnsi="宋体" w:eastAsia="宋体" w:cs="宋体"/>
                <w:sz w:val="24"/>
                <w:szCs w:val="24"/>
              </w:rPr>
              <w:t>15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-</w:t>
            </w:r>
            <w:r>
              <w:rPr>
                <w:rFonts w:ascii="宋体" w:hAnsi="宋体" w:eastAsia="宋体" w:cs="宋体"/>
                <w:sz w:val="24"/>
                <w:szCs w:val="24"/>
              </w:rPr>
              <w:t>2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5万元（含），每个2分，2</w:t>
            </w:r>
            <w:r>
              <w:rPr>
                <w:rFonts w:ascii="宋体" w:hAnsi="宋体" w:eastAsia="宋体" w:cs="宋体"/>
                <w:sz w:val="24"/>
                <w:szCs w:val="24"/>
              </w:rPr>
              <w:t>5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-35万元（含），每个3分，3</w:t>
            </w:r>
            <w:r>
              <w:rPr>
                <w:rFonts w:ascii="宋体" w:hAnsi="宋体" w:eastAsia="宋体" w:cs="宋体"/>
                <w:sz w:val="24"/>
                <w:szCs w:val="24"/>
              </w:rPr>
              <w:t>5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-</w:t>
            </w:r>
            <w:r>
              <w:rPr>
                <w:rFonts w:ascii="宋体" w:hAnsi="宋体" w:eastAsia="宋体" w:cs="宋体"/>
                <w:sz w:val="24"/>
                <w:szCs w:val="24"/>
              </w:rPr>
              <w:t>50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万元（含），每个4分；合同金额在</w:t>
            </w:r>
            <w:r>
              <w:rPr>
                <w:rFonts w:ascii="宋体" w:hAnsi="宋体" w:eastAsia="宋体" w:cs="宋体"/>
                <w:sz w:val="24"/>
                <w:szCs w:val="24"/>
              </w:rPr>
              <w:t>50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万元以上的，每个合同</w:t>
            </w:r>
            <w:r>
              <w:rPr>
                <w:rFonts w:ascii="宋体" w:hAnsi="宋体" w:eastAsia="宋体" w:cs="宋体"/>
                <w:sz w:val="24"/>
                <w:szCs w:val="24"/>
              </w:rPr>
              <w:t>5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分，最高得</w:t>
            </w:r>
            <w:r>
              <w:rPr>
                <w:rFonts w:ascii="宋体" w:hAnsi="宋体" w:eastAsia="宋体" w:cs="宋体"/>
                <w:sz w:val="24"/>
                <w:szCs w:val="24"/>
              </w:rPr>
              <w:t>20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分。</w:t>
            </w:r>
          </w:p>
        </w:tc>
      </w:tr>
      <w:tr w14:paraId="1E2CB2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482" w:hRule="atLeast"/>
        </w:trPr>
        <w:tc>
          <w:tcPr>
            <w:tcW w:w="736" w:type="dxa"/>
            <w:vAlign w:val="center"/>
          </w:tcPr>
          <w:p w14:paraId="1E4F620A">
            <w:pPr>
              <w:spacing w:line="460" w:lineRule="exact"/>
              <w:jc w:val="center"/>
              <w:rPr>
                <w:rFonts w:ascii="宋体" w:hAnsi="宋体" w:eastAsia="宋体" w:cs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4"/>
              </w:rPr>
              <w:t>3</w:t>
            </w:r>
          </w:p>
        </w:tc>
        <w:tc>
          <w:tcPr>
            <w:tcW w:w="1360" w:type="dxa"/>
            <w:vAlign w:val="center"/>
          </w:tcPr>
          <w:p w14:paraId="0DFDB899">
            <w:pPr>
              <w:spacing w:line="460" w:lineRule="exact"/>
              <w:jc w:val="center"/>
              <w:rPr>
                <w:rFonts w:ascii="宋体" w:hAnsi="宋体" w:eastAsia="宋体" w:cs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4"/>
              </w:rPr>
              <w:t>质量保证措施</w:t>
            </w:r>
          </w:p>
        </w:tc>
        <w:tc>
          <w:tcPr>
            <w:tcW w:w="800" w:type="dxa"/>
            <w:vAlign w:val="center"/>
          </w:tcPr>
          <w:p w14:paraId="1F8A5808">
            <w:pPr>
              <w:spacing w:line="460" w:lineRule="exact"/>
              <w:jc w:val="center"/>
              <w:rPr>
                <w:rFonts w:ascii="宋体" w:hAnsi="宋体" w:eastAsia="宋体" w:cs="宋体"/>
                <w:b/>
                <w:sz w:val="24"/>
                <w:szCs w:val="24"/>
              </w:rPr>
            </w:pPr>
            <w:r>
              <w:rPr>
                <w:rFonts w:ascii="宋体" w:hAnsi="宋体" w:eastAsia="宋体" w:cs="宋体"/>
                <w:b/>
                <w:sz w:val="24"/>
                <w:szCs w:val="24"/>
              </w:rPr>
              <w:t>10</w:t>
            </w:r>
            <w:r>
              <w:rPr>
                <w:rFonts w:hint="eastAsia" w:ascii="宋体" w:hAnsi="宋体" w:eastAsia="宋体" w:cs="宋体"/>
                <w:b/>
                <w:sz w:val="24"/>
                <w:szCs w:val="24"/>
              </w:rPr>
              <w:t>分</w:t>
            </w:r>
          </w:p>
        </w:tc>
        <w:tc>
          <w:tcPr>
            <w:tcW w:w="6030" w:type="dxa"/>
            <w:vAlign w:val="center"/>
          </w:tcPr>
          <w:p w14:paraId="4BA3198F">
            <w:pPr>
              <w:spacing w:line="460" w:lineRule="exact"/>
              <w:jc w:val="left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取得质量管理体系认证得</w:t>
            </w:r>
            <w:r>
              <w:rPr>
                <w:rFonts w:ascii="宋体" w:hAnsi="宋体" w:eastAsia="宋体" w:cs="宋体"/>
                <w:sz w:val="24"/>
                <w:szCs w:val="24"/>
              </w:rPr>
              <w:t>5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分；</w:t>
            </w:r>
          </w:p>
          <w:p w14:paraId="312F4933">
            <w:pPr>
              <w:spacing w:line="460" w:lineRule="exact"/>
              <w:jc w:val="left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具有企业信用等级证书得</w:t>
            </w:r>
            <w:r>
              <w:rPr>
                <w:rFonts w:ascii="宋体" w:hAnsi="宋体" w:eastAsia="宋体" w:cs="宋体"/>
                <w:sz w:val="24"/>
                <w:szCs w:val="24"/>
              </w:rPr>
              <w:t>5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分。</w:t>
            </w:r>
          </w:p>
        </w:tc>
      </w:tr>
      <w:tr w14:paraId="116D10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45" w:hRule="atLeast"/>
        </w:trPr>
        <w:tc>
          <w:tcPr>
            <w:tcW w:w="736" w:type="dxa"/>
            <w:vAlign w:val="center"/>
          </w:tcPr>
          <w:p w14:paraId="2CAC0576">
            <w:pPr>
              <w:spacing w:line="460" w:lineRule="exact"/>
              <w:jc w:val="center"/>
              <w:rPr>
                <w:rFonts w:ascii="宋体" w:hAnsi="宋体" w:eastAsia="宋体" w:cs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4"/>
              </w:rPr>
              <w:t>4</w:t>
            </w:r>
          </w:p>
        </w:tc>
        <w:tc>
          <w:tcPr>
            <w:tcW w:w="1360" w:type="dxa"/>
            <w:vAlign w:val="center"/>
          </w:tcPr>
          <w:p w14:paraId="783DB29E">
            <w:pPr>
              <w:spacing w:line="460" w:lineRule="exact"/>
              <w:jc w:val="center"/>
              <w:rPr>
                <w:rFonts w:ascii="宋体" w:hAnsi="宋体" w:eastAsia="宋体" w:cs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4"/>
              </w:rPr>
              <w:t>企业实力</w:t>
            </w:r>
          </w:p>
        </w:tc>
        <w:tc>
          <w:tcPr>
            <w:tcW w:w="800" w:type="dxa"/>
            <w:vAlign w:val="center"/>
          </w:tcPr>
          <w:p w14:paraId="5B231438">
            <w:pPr>
              <w:spacing w:line="460" w:lineRule="exact"/>
              <w:jc w:val="center"/>
              <w:rPr>
                <w:rFonts w:ascii="宋体" w:hAnsi="宋体" w:eastAsia="宋体" w:cs="宋体"/>
                <w:b/>
                <w:sz w:val="24"/>
                <w:szCs w:val="24"/>
              </w:rPr>
            </w:pPr>
            <w:r>
              <w:rPr>
                <w:rFonts w:ascii="宋体" w:hAnsi="宋体" w:eastAsia="宋体" w:cs="宋体"/>
                <w:b/>
                <w:sz w:val="24"/>
                <w:szCs w:val="24"/>
              </w:rPr>
              <w:t>15</w:t>
            </w:r>
            <w:r>
              <w:rPr>
                <w:rFonts w:hint="eastAsia" w:ascii="宋体" w:hAnsi="宋体" w:eastAsia="宋体" w:cs="宋体"/>
                <w:b/>
                <w:sz w:val="24"/>
                <w:szCs w:val="24"/>
              </w:rPr>
              <w:t>分</w:t>
            </w:r>
          </w:p>
        </w:tc>
        <w:tc>
          <w:tcPr>
            <w:tcW w:w="6030" w:type="dxa"/>
            <w:vAlign w:val="center"/>
          </w:tcPr>
          <w:p w14:paraId="7E5B7526">
            <w:pPr>
              <w:spacing w:line="460" w:lineRule="exact"/>
              <w:jc w:val="left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邢台市辖区（含下县）</w:t>
            </w:r>
            <w:r>
              <w:rPr>
                <w:rFonts w:ascii="宋体" w:hAnsi="宋体" w:eastAsia="宋体" w:cs="宋体"/>
                <w:sz w:val="24"/>
                <w:szCs w:val="24"/>
              </w:rPr>
              <w:t>10-15个连锁店，得10分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；</w:t>
            </w:r>
          </w:p>
          <w:p w14:paraId="1330C4FC">
            <w:pPr>
              <w:spacing w:line="460" w:lineRule="exact"/>
              <w:jc w:val="left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邢台市辖区（含下县）</w:t>
            </w:r>
            <w:r>
              <w:rPr>
                <w:rFonts w:ascii="宋体" w:hAnsi="宋体" w:eastAsia="宋体" w:cs="宋体"/>
                <w:sz w:val="24"/>
                <w:szCs w:val="24"/>
              </w:rPr>
              <w:t>15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及以上个</w:t>
            </w:r>
            <w:r>
              <w:rPr>
                <w:rFonts w:ascii="宋体" w:hAnsi="宋体" w:eastAsia="宋体" w:cs="宋体"/>
                <w:sz w:val="24"/>
                <w:szCs w:val="24"/>
              </w:rPr>
              <w:t>连锁店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，得</w:t>
            </w:r>
            <w:r>
              <w:rPr>
                <w:rFonts w:ascii="宋体" w:hAnsi="宋体" w:eastAsia="宋体" w:cs="宋体"/>
                <w:sz w:val="24"/>
                <w:szCs w:val="24"/>
              </w:rPr>
              <w:t>15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分；</w:t>
            </w:r>
          </w:p>
        </w:tc>
      </w:tr>
      <w:tr w14:paraId="5CDF74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27" w:hRule="atLeast"/>
        </w:trPr>
        <w:tc>
          <w:tcPr>
            <w:tcW w:w="736" w:type="dxa"/>
            <w:vAlign w:val="center"/>
          </w:tcPr>
          <w:p w14:paraId="53E13FF3">
            <w:pPr>
              <w:spacing w:line="460" w:lineRule="exact"/>
              <w:jc w:val="center"/>
              <w:rPr>
                <w:rFonts w:ascii="宋体" w:hAnsi="宋体" w:eastAsia="宋体" w:cs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4"/>
              </w:rPr>
              <w:t>5</w:t>
            </w:r>
          </w:p>
        </w:tc>
        <w:tc>
          <w:tcPr>
            <w:tcW w:w="1360" w:type="dxa"/>
            <w:vAlign w:val="center"/>
          </w:tcPr>
          <w:p w14:paraId="3BA6D8BA">
            <w:pPr>
              <w:spacing w:line="460" w:lineRule="exact"/>
              <w:jc w:val="center"/>
              <w:rPr>
                <w:rFonts w:ascii="宋体" w:hAnsi="宋体" w:eastAsia="宋体" w:cs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4"/>
              </w:rPr>
              <w:t>职工代表投票</w:t>
            </w:r>
          </w:p>
        </w:tc>
        <w:tc>
          <w:tcPr>
            <w:tcW w:w="800" w:type="dxa"/>
            <w:vAlign w:val="center"/>
          </w:tcPr>
          <w:p w14:paraId="012460BC">
            <w:pPr>
              <w:spacing w:line="460" w:lineRule="exact"/>
              <w:jc w:val="center"/>
              <w:rPr>
                <w:rFonts w:ascii="宋体" w:hAnsi="宋体" w:eastAsia="宋体" w:cs="宋体"/>
                <w:b/>
                <w:sz w:val="24"/>
                <w:szCs w:val="24"/>
              </w:rPr>
            </w:pPr>
            <w:r>
              <w:rPr>
                <w:rFonts w:ascii="宋体" w:hAnsi="宋体" w:eastAsia="宋体" w:cs="宋体"/>
                <w:b/>
                <w:sz w:val="24"/>
                <w:szCs w:val="24"/>
              </w:rPr>
              <w:t>5</w:t>
            </w:r>
            <w:r>
              <w:rPr>
                <w:rFonts w:hint="eastAsia" w:ascii="宋体" w:hAnsi="宋体" w:eastAsia="宋体" w:cs="宋体"/>
                <w:b/>
                <w:sz w:val="24"/>
                <w:szCs w:val="24"/>
              </w:rPr>
              <w:t>分</w:t>
            </w:r>
          </w:p>
        </w:tc>
        <w:tc>
          <w:tcPr>
            <w:tcW w:w="6030" w:type="dxa"/>
            <w:vAlign w:val="center"/>
          </w:tcPr>
          <w:p w14:paraId="49426BBE">
            <w:pPr>
              <w:spacing w:line="460" w:lineRule="exact"/>
              <w:jc w:val="left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根据统计票数的数量多少，得1-</w:t>
            </w:r>
            <w:r>
              <w:rPr>
                <w:rFonts w:ascii="宋体" w:hAnsi="宋体" w:eastAsia="宋体" w:cs="宋体"/>
                <w:sz w:val="24"/>
                <w:szCs w:val="24"/>
              </w:rPr>
              <w:t>5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分。</w:t>
            </w:r>
          </w:p>
        </w:tc>
      </w:tr>
      <w:tr w14:paraId="4E46CE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23" w:hRule="atLeast"/>
        </w:trPr>
        <w:tc>
          <w:tcPr>
            <w:tcW w:w="736" w:type="dxa"/>
            <w:vAlign w:val="center"/>
          </w:tcPr>
          <w:p w14:paraId="0E2D69A8">
            <w:pPr>
              <w:spacing w:line="460" w:lineRule="exact"/>
              <w:jc w:val="center"/>
              <w:rPr>
                <w:rFonts w:ascii="宋体" w:hAnsi="宋体" w:eastAsia="宋体" w:cs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4"/>
              </w:rPr>
              <w:t>6</w:t>
            </w:r>
          </w:p>
        </w:tc>
        <w:tc>
          <w:tcPr>
            <w:tcW w:w="1360" w:type="dxa"/>
            <w:vAlign w:val="center"/>
          </w:tcPr>
          <w:p w14:paraId="1AB1D474">
            <w:pPr>
              <w:spacing w:line="460" w:lineRule="exact"/>
              <w:jc w:val="center"/>
              <w:rPr>
                <w:rFonts w:ascii="宋体" w:hAnsi="宋体" w:eastAsia="宋体" w:cs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4"/>
              </w:rPr>
              <w:t>服务方案</w:t>
            </w:r>
          </w:p>
        </w:tc>
        <w:tc>
          <w:tcPr>
            <w:tcW w:w="800" w:type="dxa"/>
            <w:vAlign w:val="center"/>
          </w:tcPr>
          <w:p w14:paraId="08B7CE9E">
            <w:pPr>
              <w:spacing w:line="460" w:lineRule="exact"/>
              <w:jc w:val="center"/>
              <w:rPr>
                <w:rFonts w:ascii="宋体" w:hAnsi="宋体" w:eastAsia="宋体" w:cs="宋体"/>
                <w:b/>
                <w:sz w:val="24"/>
                <w:szCs w:val="24"/>
              </w:rPr>
            </w:pPr>
            <w:r>
              <w:rPr>
                <w:rFonts w:ascii="宋体" w:hAnsi="宋体" w:eastAsia="宋体" w:cs="宋体"/>
                <w:b/>
                <w:sz w:val="24"/>
                <w:szCs w:val="24"/>
              </w:rPr>
              <w:t>20</w:t>
            </w:r>
            <w:r>
              <w:rPr>
                <w:rFonts w:hint="eastAsia" w:ascii="宋体" w:hAnsi="宋体" w:eastAsia="宋体" w:cs="宋体"/>
                <w:b/>
                <w:sz w:val="24"/>
                <w:szCs w:val="24"/>
              </w:rPr>
              <w:t>分</w:t>
            </w:r>
          </w:p>
        </w:tc>
        <w:tc>
          <w:tcPr>
            <w:tcW w:w="6030" w:type="dxa"/>
            <w:vAlign w:val="center"/>
          </w:tcPr>
          <w:p w14:paraId="0F12E424">
            <w:pPr>
              <w:spacing w:line="460" w:lineRule="exact"/>
              <w:jc w:val="left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服务方案完整、全面、细致，售后服务配套齐全得</w:t>
            </w:r>
            <w:r>
              <w:rPr>
                <w:rFonts w:ascii="宋体" w:hAnsi="宋体" w:eastAsia="宋体" w:cs="宋体"/>
                <w:sz w:val="24"/>
                <w:szCs w:val="24"/>
              </w:rPr>
              <w:t>15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-</w:t>
            </w:r>
            <w:r>
              <w:rPr>
                <w:rFonts w:ascii="宋体" w:hAnsi="宋体" w:eastAsia="宋体" w:cs="宋体"/>
                <w:sz w:val="24"/>
                <w:szCs w:val="24"/>
              </w:rPr>
              <w:t>20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分；</w:t>
            </w:r>
          </w:p>
          <w:p w14:paraId="7172EE27">
            <w:pPr>
              <w:spacing w:line="460" w:lineRule="exact"/>
              <w:jc w:val="left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服务方案较完整、较全面，售后服务较好得</w:t>
            </w:r>
            <w:r>
              <w:rPr>
                <w:rFonts w:ascii="宋体" w:hAnsi="宋体" w:eastAsia="宋体" w:cs="宋体"/>
                <w:sz w:val="24"/>
                <w:szCs w:val="24"/>
              </w:rPr>
              <w:t>10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-</w:t>
            </w:r>
            <w:r>
              <w:rPr>
                <w:rFonts w:ascii="宋体" w:hAnsi="宋体" w:eastAsia="宋体" w:cs="宋体"/>
                <w:sz w:val="24"/>
                <w:szCs w:val="24"/>
              </w:rPr>
              <w:t>14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分；</w:t>
            </w:r>
          </w:p>
          <w:p w14:paraId="21ACC77C">
            <w:pPr>
              <w:spacing w:line="460" w:lineRule="exact"/>
              <w:jc w:val="left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服务方案及售后服务一般，得5-</w:t>
            </w:r>
            <w:r>
              <w:rPr>
                <w:rFonts w:ascii="宋体" w:hAnsi="宋体" w:eastAsia="宋体" w:cs="宋体"/>
                <w:sz w:val="24"/>
                <w:szCs w:val="24"/>
              </w:rPr>
              <w:t>9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分。</w:t>
            </w:r>
          </w:p>
        </w:tc>
      </w:tr>
      <w:tr w14:paraId="7214A8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44" w:hRule="atLeast"/>
        </w:trPr>
        <w:tc>
          <w:tcPr>
            <w:tcW w:w="736" w:type="dxa"/>
            <w:vAlign w:val="center"/>
          </w:tcPr>
          <w:p w14:paraId="374326E8">
            <w:pPr>
              <w:spacing w:line="460" w:lineRule="exact"/>
              <w:jc w:val="center"/>
              <w:rPr>
                <w:rFonts w:ascii="宋体" w:hAnsi="宋体" w:eastAsia="宋体" w:cs="宋体"/>
                <w:b/>
                <w:sz w:val="24"/>
                <w:szCs w:val="24"/>
              </w:rPr>
            </w:pPr>
            <w:r>
              <w:rPr>
                <w:rFonts w:ascii="宋体" w:hAnsi="宋体" w:eastAsia="宋体" w:cs="宋体"/>
                <w:b/>
                <w:sz w:val="24"/>
                <w:szCs w:val="24"/>
              </w:rPr>
              <w:t>7</w:t>
            </w:r>
          </w:p>
        </w:tc>
        <w:tc>
          <w:tcPr>
            <w:tcW w:w="1360" w:type="dxa"/>
            <w:vAlign w:val="center"/>
          </w:tcPr>
          <w:p w14:paraId="2B0F0A83">
            <w:pPr>
              <w:spacing w:line="460" w:lineRule="exact"/>
              <w:jc w:val="center"/>
              <w:rPr>
                <w:rFonts w:ascii="宋体" w:hAnsi="宋体" w:eastAsia="宋体" w:cs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4"/>
              </w:rPr>
              <w:t>样品</w:t>
            </w:r>
          </w:p>
        </w:tc>
        <w:tc>
          <w:tcPr>
            <w:tcW w:w="800" w:type="dxa"/>
            <w:vAlign w:val="center"/>
          </w:tcPr>
          <w:p w14:paraId="614EA522">
            <w:pPr>
              <w:spacing w:line="460" w:lineRule="exact"/>
              <w:jc w:val="center"/>
              <w:rPr>
                <w:rFonts w:ascii="宋体" w:hAnsi="宋体" w:eastAsia="宋体" w:cs="宋体"/>
                <w:b/>
                <w:sz w:val="24"/>
                <w:szCs w:val="24"/>
              </w:rPr>
            </w:pPr>
            <w:r>
              <w:rPr>
                <w:rFonts w:ascii="宋体" w:hAnsi="宋体" w:eastAsia="宋体" w:cs="宋体"/>
                <w:b/>
                <w:sz w:val="24"/>
                <w:szCs w:val="24"/>
              </w:rPr>
              <w:t>10</w:t>
            </w:r>
            <w:r>
              <w:rPr>
                <w:rFonts w:hint="eastAsia" w:ascii="宋体" w:hAnsi="宋体" w:eastAsia="宋体" w:cs="宋体"/>
                <w:b/>
                <w:sz w:val="24"/>
                <w:szCs w:val="24"/>
              </w:rPr>
              <w:t>分</w:t>
            </w:r>
          </w:p>
        </w:tc>
        <w:tc>
          <w:tcPr>
            <w:tcW w:w="6030" w:type="dxa"/>
            <w:vAlign w:val="center"/>
          </w:tcPr>
          <w:p w14:paraId="49DDAA90">
            <w:pPr>
              <w:spacing w:line="460" w:lineRule="exact"/>
              <w:jc w:val="left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包装：简约大方</w:t>
            </w:r>
            <w:r>
              <w:rPr>
                <w:rFonts w:ascii="宋体" w:hAnsi="宋体" w:eastAsia="宋体" w:cs="宋体"/>
                <w:sz w:val="24"/>
                <w:szCs w:val="24"/>
              </w:rPr>
              <w:t>1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分，包装及贺卡新颖独特+</w:t>
            </w:r>
            <w:r>
              <w:rPr>
                <w:rFonts w:ascii="宋体" w:hAnsi="宋体" w:eastAsia="宋体" w:cs="宋体"/>
                <w:sz w:val="24"/>
                <w:szCs w:val="24"/>
              </w:rPr>
              <w:t>1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分；配套用品完整</w:t>
            </w:r>
            <w:r>
              <w:rPr>
                <w:rFonts w:ascii="宋体" w:hAnsi="宋体" w:eastAsia="宋体" w:cs="宋体"/>
                <w:sz w:val="24"/>
                <w:szCs w:val="24"/>
              </w:rPr>
              <w:t>1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分，环保、独特+</w:t>
            </w:r>
            <w:r>
              <w:rPr>
                <w:rFonts w:ascii="宋体" w:hAnsi="宋体" w:eastAsia="宋体" w:cs="宋体"/>
                <w:sz w:val="24"/>
                <w:szCs w:val="24"/>
              </w:rPr>
              <w:t>1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分，最高得</w:t>
            </w:r>
            <w:r>
              <w:rPr>
                <w:rFonts w:ascii="宋体" w:hAnsi="宋体" w:eastAsia="宋体" w:cs="宋体"/>
                <w:sz w:val="24"/>
                <w:szCs w:val="24"/>
              </w:rPr>
              <w:t>4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分。</w:t>
            </w:r>
          </w:p>
          <w:p w14:paraId="4EF0F219">
            <w:pPr>
              <w:spacing w:line="460" w:lineRule="exact"/>
              <w:jc w:val="left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外观：无正常视力可见杂质、</w:t>
            </w:r>
            <w:r>
              <w:rPr>
                <w:rFonts w:ascii="宋体" w:hAnsi="宋体" w:eastAsia="宋体" w:cs="宋体"/>
                <w:sz w:val="24"/>
                <w:szCs w:val="24"/>
              </w:rPr>
              <w:t>完整、不变形、不析水，表面无裂纹1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分；整体颜色协调、装饰物不突兀</w:t>
            </w:r>
            <w:r>
              <w:rPr>
                <w:rFonts w:ascii="宋体" w:hAnsi="宋体" w:eastAsia="宋体" w:cs="宋体"/>
                <w:sz w:val="24"/>
                <w:szCs w:val="24"/>
              </w:rPr>
              <w:t>1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分；</w:t>
            </w:r>
            <w:r>
              <w:rPr>
                <w:rFonts w:hint="eastAsia" w:ascii="宋体" w:hAnsi="宋体" w:eastAsia="宋体" w:cs="宋体"/>
                <w:snapToGrid w:val="0"/>
                <w:sz w:val="24"/>
                <w:szCs w:val="24"/>
              </w:rPr>
              <w:t>最高得</w:t>
            </w:r>
            <w:r>
              <w:rPr>
                <w:rFonts w:ascii="宋体" w:hAnsi="宋体" w:eastAsia="宋体" w:cs="宋体"/>
                <w:snapToGrid w:val="0"/>
                <w:sz w:val="24"/>
                <w:szCs w:val="24"/>
              </w:rPr>
              <w:t>2</w:t>
            </w:r>
            <w:r>
              <w:rPr>
                <w:rFonts w:hint="eastAsia" w:ascii="宋体" w:hAnsi="宋体" w:eastAsia="宋体" w:cs="宋体"/>
                <w:snapToGrid w:val="0"/>
                <w:sz w:val="24"/>
                <w:szCs w:val="24"/>
              </w:rPr>
              <w:t>分。</w:t>
            </w:r>
          </w:p>
          <w:p w14:paraId="2A155975">
            <w:pPr>
              <w:pStyle w:val="11"/>
              <w:spacing w:before="78" w:line="219" w:lineRule="auto"/>
              <w:rPr>
                <w:snapToGrid/>
                <w:color w:val="auto"/>
                <w:kern w:val="2"/>
                <w:sz w:val="24"/>
                <w:szCs w:val="24"/>
                <w:lang w:eastAsia="zh-CN"/>
              </w:rPr>
            </w:pPr>
            <w:r>
              <w:rPr>
                <w:rFonts w:hint="eastAsia"/>
                <w:snapToGrid/>
                <w:color w:val="auto"/>
                <w:kern w:val="2"/>
                <w:sz w:val="24"/>
                <w:szCs w:val="24"/>
                <w:lang w:eastAsia="zh-CN"/>
              </w:rPr>
              <w:t>蛋糕坯体：</w:t>
            </w:r>
            <w:r>
              <w:rPr>
                <w:snapToGrid/>
                <w:color w:val="auto"/>
                <w:kern w:val="2"/>
                <w:sz w:val="24"/>
                <w:szCs w:val="24"/>
                <w:lang w:eastAsia="zh-CN"/>
              </w:rPr>
              <w:t>蜂窝均匀</w:t>
            </w:r>
            <w:r>
              <w:rPr>
                <w:rFonts w:hint="eastAsia"/>
                <w:snapToGrid/>
                <w:color w:val="auto"/>
                <w:kern w:val="2"/>
                <w:sz w:val="24"/>
                <w:szCs w:val="24"/>
                <w:lang w:eastAsia="zh-CN"/>
              </w:rPr>
              <w:t>、松软</w:t>
            </w:r>
            <w:r>
              <w:rPr>
                <w:snapToGrid/>
                <w:color w:val="auto"/>
                <w:kern w:val="2"/>
                <w:sz w:val="24"/>
                <w:szCs w:val="24"/>
                <w:lang w:eastAsia="zh-CN"/>
              </w:rPr>
              <w:t>有弹性1</w:t>
            </w:r>
            <w:r>
              <w:rPr>
                <w:rFonts w:hint="eastAsia"/>
                <w:snapToGrid/>
                <w:color w:val="auto"/>
                <w:kern w:val="2"/>
                <w:sz w:val="24"/>
                <w:szCs w:val="24"/>
                <w:lang w:eastAsia="zh-CN"/>
              </w:rPr>
              <w:t>分。</w:t>
            </w:r>
          </w:p>
          <w:p w14:paraId="68CB081C">
            <w:pPr>
              <w:pStyle w:val="11"/>
              <w:spacing w:before="78" w:line="219" w:lineRule="auto"/>
              <w:rPr>
                <w:snapToGrid/>
                <w:color w:val="auto"/>
                <w:kern w:val="2"/>
                <w:sz w:val="24"/>
                <w:szCs w:val="24"/>
                <w:lang w:eastAsia="zh-CN"/>
              </w:rPr>
            </w:pPr>
            <w:r>
              <w:rPr>
                <w:rFonts w:hint="eastAsia"/>
                <w:snapToGrid/>
                <w:color w:val="auto"/>
                <w:kern w:val="2"/>
                <w:sz w:val="24"/>
                <w:szCs w:val="24"/>
                <w:lang w:eastAsia="zh-CN"/>
              </w:rPr>
              <w:t>口感：蛋糕坯体细腻</w:t>
            </w:r>
            <w:r>
              <w:rPr>
                <w:snapToGrid/>
                <w:color w:val="auto"/>
                <w:kern w:val="2"/>
                <w:sz w:val="24"/>
                <w:szCs w:val="24"/>
                <w:lang w:eastAsia="zh-CN"/>
              </w:rPr>
              <w:t>1</w:t>
            </w:r>
            <w:r>
              <w:rPr>
                <w:rFonts w:hint="eastAsia"/>
                <w:snapToGrid/>
                <w:color w:val="auto"/>
                <w:kern w:val="2"/>
                <w:sz w:val="24"/>
                <w:szCs w:val="24"/>
                <w:lang w:eastAsia="zh-CN"/>
              </w:rPr>
              <w:t>分；</w:t>
            </w:r>
            <w:r>
              <w:rPr>
                <w:rFonts w:hint="eastAsia"/>
                <w:sz w:val="24"/>
                <w:szCs w:val="24"/>
                <w:lang w:eastAsia="zh-CN"/>
              </w:rPr>
              <w:t>动物</w:t>
            </w:r>
            <w:r>
              <w:rPr>
                <w:rFonts w:hint="eastAsia"/>
                <w:snapToGrid/>
                <w:color w:val="auto"/>
                <w:kern w:val="2"/>
                <w:sz w:val="24"/>
                <w:szCs w:val="24"/>
                <w:lang w:eastAsia="zh-CN"/>
              </w:rPr>
              <w:t>奶油丝滑、不甜腻</w:t>
            </w:r>
            <w:r>
              <w:rPr>
                <w:sz w:val="24"/>
                <w:szCs w:val="24"/>
                <w:lang w:eastAsia="zh-CN"/>
              </w:rPr>
              <w:t>1</w:t>
            </w:r>
            <w:r>
              <w:rPr>
                <w:rFonts w:hint="eastAsia"/>
                <w:snapToGrid/>
                <w:color w:val="auto"/>
                <w:kern w:val="2"/>
                <w:sz w:val="24"/>
                <w:szCs w:val="24"/>
                <w:lang w:eastAsia="zh-CN"/>
              </w:rPr>
              <w:t>分，最高得</w:t>
            </w:r>
            <w:r>
              <w:rPr>
                <w:snapToGrid/>
                <w:color w:val="auto"/>
                <w:kern w:val="2"/>
                <w:sz w:val="24"/>
                <w:szCs w:val="24"/>
                <w:lang w:eastAsia="zh-CN"/>
              </w:rPr>
              <w:t>2</w:t>
            </w:r>
            <w:r>
              <w:rPr>
                <w:rFonts w:hint="eastAsia"/>
                <w:snapToGrid/>
                <w:color w:val="auto"/>
                <w:kern w:val="2"/>
                <w:sz w:val="24"/>
                <w:szCs w:val="24"/>
                <w:lang w:eastAsia="zh-CN"/>
              </w:rPr>
              <w:t>分。</w:t>
            </w:r>
          </w:p>
          <w:p w14:paraId="70C87BC5">
            <w:pPr>
              <w:spacing w:line="460" w:lineRule="exact"/>
              <w:jc w:val="left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蛋糕表面和夹层所使用的水果为新鲜水果</w:t>
            </w:r>
            <w:r>
              <w:rPr>
                <w:rFonts w:ascii="宋体" w:hAnsi="宋体" w:eastAsia="宋体" w:cs="宋体"/>
                <w:sz w:val="24"/>
                <w:szCs w:val="24"/>
              </w:rPr>
              <w:t>1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分。</w:t>
            </w:r>
          </w:p>
        </w:tc>
      </w:tr>
    </w:tbl>
    <w:p w14:paraId="6B525710">
      <w:pPr>
        <w:jc w:val="left"/>
        <w:rPr>
          <w:rFonts w:hint="eastAsia" w:ascii="宋体" w:hAnsi="宋体" w:eastAsia="宋体" w:cs="宋体"/>
          <w:spacing w:val="-1"/>
          <w:sz w:val="28"/>
          <w:szCs w:val="28"/>
        </w:rPr>
      </w:pPr>
    </w:p>
    <w:p w14:paraId="2E628932">
      <w:pPr>
        <w:ind w:firstLine="556" w:firstLineChars="200"/>
        <w:jc w:val="left"/>
        <w:rPr>
          <w:rFonts w:ascii="宋体" w:hAnsi="宋体" w:eastAsia="宋体" w:cs="宋体"/>
          <w:spacing w:val="-1"/>
          <w:sz w:val="28"/>
          <w:szCs w:val="28"/>
        </w:rPr>
      </w:pPr>
      <w:r>
        <w:rPr>
          <w:rFonts w:hint="eastAsia" w:ascii="宋体" w:hAnsi="宋体" w:eastAsia="宋体" w:cs="宋体"/>
          <w:spacing w:val="-1"/>
          <w:sz w:val="28"/>
          <w:szCs w:val="28"/>
        </w:rPr>
        <w:t>注：a</w:t>
      </w:r>
      <w:r>
        <w:rPr>
          <w:rFonts w:ascii="宋体" w:hAnsi="宋体" w:eastAsia="宋体" w:cs="宋体"/>
          <w:spacing w:val="-1"/>
          <w:sz w:val="28"/>
          <w:szCs w:val="28"/>
        </w:rPr>
        <w:t>.</w:t>
      </w:r>
      <w:r>
        <w:rPr>
          <w:rFonts w:hint="eastAsia" w:ascii="宋体" w:hAnsi="宋体" w:eastAsia="宋体" w:cs="宋体"/>
          <w:spacing w:val="-1"/>
          <w:sz w:val="28"/>
          <w:szCs w:val="28"/>
        </w:rPr>
        <w:t>报价人对所提供的证明材料的真实性负责，否则，采购人将追究其法律责任，由此带来的一切损失由报价人承担；</w:t>
      </w:r>
    </w:p>
    <w:p w14:paraId="5601B499">
      <w:pPr>
        <w:ind w:left="908" w:leftChars="300" w:right="-340" w:rightChars="-162" w:hanging="278" w:hangingChars="100"/>
        <w:jc w:val="left"/>
        <w:rPr>
          <w:rFonts w:ascii="宋体" w:hAnsi="宋体" w:eastAsia="宋体" w:cs="宋体"/>
          <w:spacing w:val="-1"/>
          <w:sz w:val="28"/>
          <w:szCs w:val="28"/>
        </w:rPr>
      </w:pPr>
      <w:r>
        <w:rPr>
          <w:rFonts w:hint="eastAsia" w:ascii="宋体" w:hAnsi="宋体" w:eastAsia="宋体" w:cs="宋体"/>
          <w:spacing w:val="-1"/>
          <w:sz w:val="28"/>
          <w:szCs w:val="28"/>
        </w:rPr>
        <w:t>b</w:t>
      </w:r>
      <w:r>
        <w:rPr>
          <w:rFonts w:ascii="宋体" w:hAnsi="宋体" w:eastAsia="宋体" w:cs="宋体"/>
          <w:spacing w:val="-1"/>
          <w:sz w:val="28"/>
          <w:szCs w:val="28"/>
        </w:rPr>
        <w:t>.</w:t>
      </w:r>
      <w:r>
        <w:rPr>
          <w:rFonts w:hint="eastAsia" w:ascii="宋体" w:hAnsi="宋体" w:eastAsia="宋体" w:cs="宋体"/>
          <w:spacing w:val="-1"/>
          <w:sz w:val="28"/>
          <w:szCs w:val="28"/>
        </w:rPr>
        <w:t>每位评审小组成员对报价人的分值要有排序，避免出现相同分数。</w:t>
      </w:r>
    </w:p>
    <w:p w14:paraId="07D3707D">
      <w:pPr>
        <w:ind w:left="1" w:right="-340" w:rightChars="-162" w:firstLine="628" w:firstLineChars="226"/>
        <w:jc w:val="left"/>
        <w:rPr>
          <w:rFonts w:ascii="宋体" w:hAnsi="宋体" w:eastAsia="宋体" w:cs="宋体"/>
          <w:spacing w:val="-1"/>
          <w:sz w:val="28"/>
          <w:szCs w:val="28"/>
        </w:rPr>
      </w:pPr>
      <w:r>
        <w:rPr>
          <w:rFonts w:hint="eastAsia" w:ascii="宋体" w:hAnsi="宋体" w:eastAsia="宋体" w:cs="宋体"/>
          <w:spacing w:val="-1"/>
          <w:sz w:val="28"/>
          <w:szCs w:val="28"/>
        </w:rPr>
        <w:t>c</w:t>
      </w:r>
      <w:r>
        <w:rPr>
          <w:rFonts w:ascii="宋体" w:hAnsi="宋体" w:eastAsia="宋体" w:cs="宋体"/>
          <w:spacing w:val="-1"/>
          <w:sz w:val="28"/>
          <w:szCs w:val="28"/>
        </w:rPr>
        <w:t>.</w:t>
      </w:r>
      <w:r>
        <w:rPr>
          <w:rFonts w:hint="eastAsia" w:ascii="宋体" w:hAnsi="宋体" w:eastAsia="宋体" w:cs="宋体"/>
          <w:spacing w:val="-1"/>
          <w:sz w:val="28"/>
          <w:szCs w:val="28"/>
        </w:rPr>
        <w:t>按照每个报价人所得综合分数的算术平均数进行排序。</w:t>
      </w:r>
      <w:bookmarkEnd w:id="0"/>
      <w:r>
        <w:rPr>
          <w:rFonts w:hint="eastAsia" w:ascii="宋体" w:hAnsi="宋体" w:eastAsia="宋体" w:cs="宋体"/>
          <w:spacing w:val="-1"/>
          <w:sz w:val="28"/>
          <w:szCs w:val="28"/>
        </w:rPr>
        <w:t>最终选择得分最高的前2名作为本次采购的供应商。</w:t>
      </w:r>
    </w:p>
    <w:p w14:paraId="4275C5E6">
      <w:pPr>
        <w:ind w:left="908" w:leftChars="300" w:right="-340" w:rightChars="-162" w:hanging="278" w:hangingChars="100"/>
        <w:jc w:val="left"/>
        <w:rPr>
          <w:rFonts w:ascii="宋体" w:hAnsi="宋体" w:eastAsia="宋体" w:cs="宋体"/>
          <w:spacing w:val="-1"/>
          <w:sz w:val="28"/>
          <w:szCs w:val="28"/>
        </w:rPr>
      </w:pPr>
    </w:p>
    <w:bookmarkEnd w:id="1"/>
    <w:p w14:paraId="33F110F4"/>
    <w:sectPr>
      <w:footerReference r:id="rId3" w:type="default"/>
      <w:pgSz w:w="11906" w:h="16838"/>
      <w:pgMar w:top="1418" w:right="1588" w:bottom="1418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610244956"/>
      <w:docPartObj>
        <w:docPartGallery w:val="AutoText"/>
      </w:docPartObj>
    </w:sdtPr>
    <w:sdtContent>
      <w:p w14:paraId="0B02555A">
        <w:pPr>
          <w:pStyle w:val="4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10</w:t>
        </w:r>
        <w:r>
          <w:fldChar w:fldCharType="end"/>
        </w:r>
      </w:p>
    </w:sdtContent>
  </w:sdt>
  <w:p w14:paraId="7CC0EDF9">
    <w:pPr>
      <w:pStyle w:val="4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2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5BC0"/>
    <w:rsid w:val="00046312"/>
    <w:rsid w:val="00050226"/>
    <w:rsid w:val="000522BA"/>
    <w:rsid w:val="000B6235"/>
    <w:rsid w:val="00101335"/>
    <w:rsid w:val="00156D37"/>
    <w:rsid w:val="00182A50"/>
    <w:rsid w:val="001C3AB6"/>
    <w:rsid w:val="001D0978"/>
    <w:rsid w:val="001D2024"/>
    <w:rsid w:val="001D486C"/>
    <w:rsid w:val="001D6D89"/>
    <w:rsid w:val="001E32F8"/>
    <w:rsid w:val="001F157E"/>
    <w:rsid w:val="0025127C"/>
    <w:rsid w:val="002A4098"/>
    <w:rsid w:val="002B6A3E"/>
    <w:rsid w:val="002C035F"/>
    <w:rsid w:val="002F45AA"/>
    <w:rsid w:val="00302B77"/>
    <w:rsid w:val="00332FA1"/>
    <w:rsid w:val="0033618B"/>
    <w:rsid w:val="00354062"/>
    <w:rsid w:val="00365AA8"/>
    <w:rsid w:val="00367AF3"/>
    <w:rsid w:val="003B0299"/>
    <w:rsid w:val="00405BC0"/>
    <w:rsid w:val="00452191"/>
    <w:rsid w:val="00483D0F"/>
    <w:rsid w:val="004B4F52"/>
    <w:rsid w:val="005077B2"/>
    <w:rsid w:val="00524A0C"/>
    <w:rsid w:val="005851F4"/>
    <w:rsid w:val="005B2476"/>
    <w:rsid w:val="005E4C55"/>
    <w:rsid w:val="006313A1"/>
    <w:rsid w:val="00644936"/>
    <w:rsid w:val="006D5E15"/>
    <w:rsid w:val="006E15CF"/>
    <w:rsid w:val="006F2079"/>
    <w:rsid w:val="00715E4B"/>
    <w:rsid w:val="00752AD4"/>
    <w:rsid w:val="00771F6F"/>
    <w:rsid w:val="0079203B"/>
    <w:rsid w:val="007A44C5"/>
    <w:rsid w:val="007B2505"/>
    <w:rsid w:val="00821C84"/>
    <w:rsid w:val="00866D03"/>
    <w:rsid w:val="0087558D"/>
    <w:rsid w:val="008B62C9"/>
    <w:rsid w:val="009416CC"/>
    <w:rsid w:val="009F4FD9"/>
    <w:rsid w:val="00A347A1"/>
    <w:rsid w:val="00A464F1"/>
    <w:rsid w:val="00A547B5"/>
    <w:rsid w:val="00A60EC7"/>
    <w:rsid w:val="00A77152"/>
    <w:rsid w:val="00AC20B1"/>
    <w:rsid w:val="00AD374B"/>
    <w:rsid w:val="00B44F3F"/>
    <w:rsid w:val="00B84A8E"/>
    <w:rsid w:val="00BB6250"/>
    <w:rsid w:val="00C569E9"/>
    <w:rsid w:val="00C6461D"/>
    <w:rsid w:val="00C80B34"/>
    <w:rsid w:val="00C83F17"/>
    <w:rsid w:val="00CC6AA7"/>
    <w:rsid w:val="00D12560"/>
    <w:rsid w:val="00D27F93"/>
    <w:rsid w:val="00D71B4A"/>
    <w:rsid w:val="00D80F5E"/>
    <w:rsid w:val="00D87614"/>
    <w:rsid w:val="00E04E12"/>
    <w:rsid w:val="00E75224"/>
    <w:rsid w:val="00EC434D"/>
    <w:rsid w:val="00EE1509"/>
    <w:rsid w:val="00F15388"/>
    <w:rsid w:val="00F569F8"/>
    <w:rsid w:val="00F75E32"/>
    <w:rsid w:val="00FF075D"/>
    <w:rsid w:val="00FF68FF"/>
    <w:rsid w:val="02EC685C"/>
    <w:rsid w:val="09735491"/>
    <w:rsid w:val="1BA921A5"/>
    <w:rsid w:val="3D217658"/>
    <w:rsid w:val="672D16D2"/>
    <w:rsid w:val="7D5227FF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nhideWhenUsed="0" w:uiPriority="0" w:semiHidden="0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nhideWhenUsed="0" w:uiPriority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1"/>
    <w:qFormat/>
    <w:uiPriority w:val="0"/>
    <w:pPr>
      <w:ind w:firstLine="420" w:firstLineChars="200"/>
    </w:pPr>
    <w:rPr>
      <w:rFonts w:ascii="Calibri" w:hAnsi="Calibri" w:eastAsia="宋体" w:cs="Times New Roman"/>
      <w:szCs w:val="24"/>
    </w:rPr>
  </w:style>
  <w:style w:type="paragraph" w:styleId="3">
    <w:name w:val="Body Text"/>
    <w:basedOn w:val="1"/>
    <w:link w:val="13"/>
    <w:semiHidden/>
    <w:qFormat/>
    <w:uiPriority w:val="0"/>
    <w:pPr>
      <w:widowControl/>
      <w:kinsoku w:val="0"/>
      <w:autoSpaceDE w:val="0"/>
      <w:autoSpaceDN w:val="0"/>
      <w:adjustRightInd w:val="0"/>
      <w:snapToGrid w:val="0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Cs w:val="21"/>
      <w:lang w:eastAsia="en-US"/>
    </w:rPr>
  </w:style>
  <w:style w:type="paragraph" w:styleId="4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7">
    <w:name w:val="Table Grid"/>
    <w:basedOn w:val="6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9">
    <w:name w:val="页眉 Char"/>
    <w:basedOn w:val="8"/>
    <w:link w:val="5"/>
    <w:uiPriority w:val="99"/>
    <w:rPr>
      <w:sz w:val="18"/>
      <w:szCs w:val="18"/>
    </w:rPr>
  </w:style>
  <w:style w:type="character" w:customStyle="1" w:styleId="10">
    <w:name w:val="页脚 Char"/>
    <w:basedOn w:val="8"/>
    <w:link w:val="4"/>
    <w:uiPriority w:val="99"/>
    <w:rPr>
      <w:sz w:val="18"/>
      <w:szCs w:val="18"/>
    </w:rPr>
  </w:style>
  <w:style w:type="paragraph" w:customStyle="1" w:styleId="11">
    <w:name w:val="Table Text"/>
    <w:basedOn w:val="1"/>
    <w:semiHidden/>
    <w:qFormat/>
    <w:uiPriority w:val="0"/>
    <w:pPr>
      <w:widowControl/>
      <w:kinsoku w:val="0"/>
      <w:autoSpaceDE w:val="0"/>
      <w:autoSpaceDN w:val="0"/>
      <w:adjustRightInd w:val="0"/>
      <w:snapToGrid w:val="0"/>
      <w:jc w:val="left"/>
      <w:textAlignment w:val="baseline"/>
    </w:pPr>
    <w:rPr>
      <w:rFonts w:ascii="宋体" w:hAnsi="宋体" w:eastAsia="宋体" w:cs="宋体"/>
      <w:snapToGrid w:val="0"/>
      <w:color w:val="000000"/>
      <w:kern w:val="0"/>
      <w:sz w:val="20"/>
      <w:szCs w:val="20"/>
      <w:lang w:eastAsia="en-US"/>
    </w:rPr>
  </w:style>
  <w:style w:type="paragraph" w:styleId="12">
    <w:name w:val="List Paragraph"/>
    <w:basedOn w:val="1"/>
    <w:qFormat/>
    <w:uiPriority w:val="34"/>
    <w:pPr>
      <w:ind w:firstLine="420" w:firstLineChars="200"/>
    </w:pPr>
  </w:style>
  <w:style w:type="character" w:customStyle="1" w:styleId="13">
    <w:name w:val="正文文本 Char"/>
    <w:basedOn w:val="8"/>
    <w:link w:val="3"/>
    <w:semiHidden/>
    <w:qFormat/>
    <w:uiPriority w:val="0"/>
    <w:rPr>
      <w:rFonts w:ascii="Arial" w:hAnsi="Arial" w:eastAsia="Arial" w:cs="Arial"/>
      <w:snapToGrid w:val="0"/>
      <w:color w:val="000000"/>
      <w:kern w:val="0"/>
      <w:szCs w:val="21"/>
      <w:lang w:eastAsia="en-US"/>
    </w:rPr>
  </w:style>
  <w:style w:type="table" w:customStyle="1" w:styleId="14">
    <w:name w:val="Table Normal"/>
    <w:semiHidden/>
    <w:unhideWhenUsed/>
    <w:qFormat/>
    <w:uiPriority w:val="0"/>
    <w:rPr>
      <w:rFonts w:ascii="Arial" w:hAnsi="Arial" w:cs="Arial"/>
      <w:kern w:val="0"/>
      <w:sz w:val="20"/>
      <w:szCs w:val="20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C0D1E1-C171-496F-926A-F0EB0286CD1B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3336</Words>
  <Characters>3545</Characters>
  <Lines>29</Lines>
  <Paragraphs>8</Paragraphs>
  <TotalTime>669</TotalTime>
  <ScaleCrop>false</ScaleCrop>
  <LinksUpToDate>false</LinksUpToDate>
  <CharactersWithSpaces>3867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2025-06-24T08:29:00Z</dcterms:created>
  <dc:creator>Administrator</dc:creator>
  <cp:lastModifiedBy>LeoLee</cp:lastModifiedBy>
  <cp:lastPrinted>2025-07-28T02:51:00Z</cp:lastPrinted>
  <dcterms:modified xsi:type="dcterms:W3CDTF">2025-07-28T10:09:14Z</dcterms:modified>
  <cp:revision>61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eyJoZGlkIjoiYmYyMzZiMmFjZGE1ZDE2YjJmYTI2ZDZkZjU0ZjVhZDciLCJ1c2VySWQiOiIzNDczMDI1NzQifQ==</vt:lpwstr>
  </property>
  <property fmtid="{D5CDD505-2E9C-101B-9397-08002B2CF9AE}" pid="3" name="KSOProductBuildVer">
    <vt:lpwstr>2052-12.1.0.21915</vt:lpwstr>
  </property>
  <property fmtid="{D5CDD505-2E9C-101B-9397-08002B2CF9AE}" pid="4" name="ICV">
    <vt:lpwstr>C29BAE1484AD4390849AF0E15C5C0BCC_13</vt:lpwstr>
  </property>
</Properties>
</file>